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100" w:afterLines="150"/>
        <w:jc w:val="center"/>
        <w:outlineLvl w:val="0"/>
        <w:rPr>
          <w:rFonts w:ascii="仿宋" w:hAnsi="仿宋" w:eastAsia="仿宋" w:cs="仿宋"/>
          <w:bCs/>
          <w:kern w:val="0"/>
          <w:sz w:val="28"/>
          <w:szCs w:val="28"/>
        </w:rPr>
      </w:pPr>
      <w:bookmarkStart w:id="0" w:name="_Toc465363307"/>
      <w:bookmarkStart w:id="1" w:name="_Toc465363810"/>
      <w:bookmarkStart w:id="2" w:name="_Toc465363518"/>
      <w:bookmarkStart w:id="3" w:name="_Toc465356759"/>
      <w:bookmarkStart w:id="4" w:name="_Toc465523026"/>
      <w:bookmarkStart w:id="5" w:name="_Toc465406966"/>
      <w:bookmarkStart w:id="6" w:name="_Toc465525655"/>
      <w:bookmarkStart w:id="7" w:name="_Toc465520458"/>
      <w:r>
        <w:rPr>
          <w:rFonts w:hint="eastAsia" w:ascii="仿宋" w:hAnsi="仿宋" w:eastAsia="仿宋" w:cs="仿宋"/>
          <w:b/>
          <w:kern w:val="0"/>
          <w:sz w:val="28"/>
          <w:szCs w:val="28"/>
        </w:rPr>
        <w:t>机械与储运工程学院转专业学生的学籍及教学管理办法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bookmarkStart w:id="8" w:name="_Toc465523023"/>
      <w:bookmarkStart w:id="9" w:name="_Toc465525652"/>
      <w:r>
        <w:rPr>
          <w:rFonts w:hint="eastAsia" w:ascii="仿宋" w:hAnsi="仿宋" w:eastAsia="仿宋" w:cs="仿宋"/>
          <w:bCs/>
          <w:kern w:val="0"/>
          <w:sz w:val="24"/>
          <w:szCs w:val="24"/>
        </w:rPr>
        <w:t>严格遵守</w:t>
      </w:r>
      <w:bookmarkEnd w:id="8"/>
      <w:bookmarkEnd w:id="9"/>
      <w:r>
        <w:rPr>
          <w:rFonts w:ascii="仿宋" w:hAnsi="仿宋" w:eastAsia="仿宋" w:cs="仿宋"/>
          <w:bCs/>
          <w:kern w:val="0"/>
          <w:sz w:val="24"/>
          <w:szCs w:val="24"/>
        </w:rPr>
        <w:t>《本科生转专业实施办法（修订）》（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中石大京教〔</w:t>
      </w:r>
      <w:r>
        <w:rPr>
          <w:rFonts w:ascii="仿宋" w:hAnsi="仿宋" w:eastAsia="仿宋" w:cs="仿宋"/>
          <w:bCs/>
          <w:kern w:val="0"/>
          <w:sz w:val="24"/>
          <w:szCs w:val="24"/>
        </w:rPr>
        <w:t>2021〕28 号）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和《机械与储运工程学院关于本科生转专业的补充规定》。</w:t>
      </w:r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经批准，录取的转专业本科生所在班级由辅导员负责编排。</w:t>
      </w:r>
    </w:p>
    <w:p>
      <w:p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3、在转专业被批准至学籍正式转入新专业期间若有不及格必修课程，必须补齐未取得的必修学分。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480" w:firstLineChars="20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4、转专业学生的课程学习执行转入专业相应年级的培养方案，同时需补修转入专业前期已执行完的教学计划课程。学生转专业前取得学分的课程，符合转入专业培养方案规定的，予以认可。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5、转专业学生的毕业资格审核以转入专业的培养方案规定为依据。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6、课程替代原则</w:t>
      </w:r>
    </w:p>
    <w:p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1"/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转专业前的必修课程如果在新专业的转专业后的学期中也开设，在学时学分高于或等同于新专业的要求时，是否可以替代新专业的该门课程，由专业负责人根据课程内容差异情况审核；</w:t>
      </w:r>
    </w:p>
    <w:p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2"/>
      </w:r>
      <w:r>
        <w:rPr>
          <w:rFonts w:hint="eastAsia" w:ascii="仿宋" w:hAnsi="仿宋" w:eastAsia="仿宋" w:cs="仿宋"/>
          <w:bCs/>
          <w:sz w:val="24"/>
          <w:szCs w:val="24"/>
        </w:rPr>
        <w:t>转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专业前的必修课程如果在新专业的转专业后的学期中也开设，在学时学分低于新专业的要求时，由专业负责人根据课程内容差异情况审核，给出是否可免修此课的意见，同时指定补修课程以补齐学分。</w:t>
      </w:r>
    </w:p>
    <w:p>
      <w:pPr>
        <w:spacing w:beforeLines="50"/>
        <w:rPr>
          <w:rFonts w:ascii="仿宋" w:hAnsi="仿宋" w:eastAsia="仿宋" w:cs="仿宋"/>
          <w:bCs/>
          <w:sz w:val="24"/>
          <w:szCs w:val="24"/>
        </w:rPr>
      </w:pPr>
    </w:p>
    <w:p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机械与储运工程学院</w:t>
      </w:r>
    </w:p>
    <w:p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202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sz w:val="24"/>
          <w:szCs w:val="24"/>
        </w:rPr>
        <w:t>年4</w:t>
      </w:r>
      <w:bookmarkStart w:id="10" w:name="_GoBack"/>
      <w:bookmarkEnd w:id="10"/>
      <w:r>
        <w:rPr>
          <w:rFonts w:hint="eastAsia" w:ascii="仿宋" w:hAnsi="仿宋" w:eastAsia="仿宋" w:cs="仿宋"/>
          <w:b/>
          <w:sz w:val="24"/>
          <w:szCs w:val="24"/>
        </w:rPr>
        <w:t>月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19</w:t>
      </w:r>
      <w:r>
        <w:rPr>
          <w:rFonts w:hint="eastAsia" w:ascii="仿宋" w:hAnsi="仿宋" w:eastAsia="仿宋" w:cs="仿宋"/>
          <w:b/>
          <w:sz w:val="24"/>
          <w:szCs w:val="24"/>
        </w:rPr>
        <w:t>日</w:t>
      </w: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12CDD"/>
    <w:multiLevelType w:val="singleLevel"/>
    <w:tmpl w:val="58212C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YTRlY2E4MTNlOTNhMjZiZGFiMWVlNmQzZjUwYjkifQ=="/>
  </w:docVars>
  <w:rsids>
    <w:rsidRoot w:val="1E107BD9"/>
    <w:rsid w:val="001359C8"/>
    <w:rsid w:val="0015354F"/>
    <w:rsid w:val="003E544B"/>
    <w:rsid w:val="004057DB"/>
    <w:rsid w:val="004113CD"/>
    <w:rsid w:val="00472E1F"/>
    <w:rsid w:val="004F460E"/>
    <w:rsid w:val="005F169B"/>
    <w:rsid w:val="006A468D"/>
    <w:rsid w:val="006A58F4"/>
    <w:rsid w:val="007B6660"/>
    <w:rsid w:val="007D5EC0"/>
    <w:rsid w:val="008A119C"/>
    <w:rsid w:val="009220D1"/>
    <w:rsid w:val="009B665A"/>
    <w:rsid w:val="00A36D92"/>
    <w:rsid w:val="00B26932"/>
    <w:rsid w:val="00C91819"/>
    <w:rsid w:val="00D7500D"/>
    <w:rsid w:val="00F922DA"/>
    <w:rsid w:val="058E1C40"/>
    <w:rsid w:val="0C97308C"/>
    <w:rsid w:val="15E71C89"/>
    <w:rsid w:val="1D2324E9"/>
    <w:rsid w:val="1E107BD9"/>
    <w:rsid w:val="232E2084"/>
    <w:rsid w:val="37996877"/>
    <w:rsid w:val="384E6FF3"/>
    <w:rsid w:val="3EA61FB4"/>
    <w:rsid w:val="4062448A"/>
    <w:rsid w:val="526B189B"/>
    <w:rsid w:val="53050DAF"/>
    <w:rsid w:val="54921613"/>
    <w:rsid w:val="5D4B7E3A"/>
    <w:rsid w:val="65830CEF"/>
    <w:rsid w:val="739E785D"/>
    <w:rsid w:val="75932474"/>
    <w:rsid w:val="7A6A1F67"/>
    <w:rsid w:val="7E7801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